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67" w:rsidRDefault="00C71767" w:rsidP="00C71767">
      <w:pPr>
        <w:pStyle w:val="Bezproreda"/>
      </w:pPr>
    </w:p>
    <w:p w:rsidR="00C71767" w:rsidRDefault="00C71767" w:rsidP="00C71767">
      <w:pPr>
        <w:pStyle w:val="Bezproreda"/>
      </w:pPr>
    </w:p>
    <w:p w:rsidR="001E2EF9" w:rsidRPr="00C71767" w:rsidRDefault="00F569F0" w:rsidP="00C71767">
      <w:pPr>
        <w:pStyle w:val="Bezproreda"/>
      </w:pPr>
      <w:r w:rsidRPr="00C90317">
        <w:t xml:space="preserve">Na temelju članka </w:t>
      </w:r>
      <w:r w:rsidR="00F26DCB" w:rsidRPr="00C90317">
        <w:t>18. stavaka 1.-</w:t>
      </w:r>
      <w:r w:rsidR="00D90ADF" w:rsidRPr="00C90317">
        <w:t xml:space="preserve"> </w:t>
      </w:r>
      <w:r w:rsidR="00F26DCB" w:rsidRPr="00C90317">
        <w:t>5. Zakona o zaštiti prijavitelja nepravilnosti (Narodne novine broj 17/19</w:t>
      </w:r>
      <w:r w:rsidR="00F854B4" w:rsidRPr="00C90317">
        <w:t>.</w:t>
      </w:r>
      <w:r w:rsidR="00F26DCB" w:rsidRPr="00C90317">
        <w:t xml:space="preserve">) te članka 118. stavka 2. </w:t>
      </w:r>
      <w:r w:rsidR="00E9676A" w:rsidRPr="00C90317">
        <w:t xml:space="preserve">podstavka 3. </w:t>
      </w:r>
      <w:r w:rsidRPr="00C90317">
        <w:rPr>
          <w:lang w:val="pl-PL"/>
        </w:rPr>
        <w:t>Zakona o odgoju i obrazovanj</w:t>
      </w:r>
      <w:r w:rsidR="002C66FB" w:rsidRPr="00C90317">
        <w:rPr>
          <w:lang w:val="pl-PL"/>
        </w:rPr>
        <w:t>u u osnovnoj i srednjoj školi (</w:t>
      </w:r>
      <w:r w:rsidRPr="00C90317">
        <w:rPr>
          <w:lang w:val="pl-PL"/>
        </w:rPr>
        <w:t>Narodne novine broj 87/08</w:t>
      </w:r>
      <w:r w:rsidR="00C90317">
        <w:rPr>
          <w:lang w:val="pl-PL"/>
        </w:rPr>
        <w:t>.</w:t>
      </w:r>
      <w:r w:rsidRPr="00C90317">
        <w:rPr>
          <w:lang w:val="pl-PL"/>
        </w:rPr>
        <w:t>, 86/09</w:t>
      </w:r>
      <w:r w:rsidR="00C90317">
        <w:rPr>
          <w:lang w:val="pl-PL"/>
        </w:rPr>
        <w:t>.</w:t>
      </w:r>
      <w:r w:rsidRPr="00C90317">
        <w:rPr>
          <w:lang w:val="pl-PL"/>
        </w:rPr>
        <w:t>, 92/10</w:t>
      </w:r>
      <w:r w:rsidR="00C90317">
        <w:rPr>
          <w:lang w:val="pl-PL"/>
        </w:rPr>
        <w:t>.</w:t>
      </w:r>
      <w:r w:rsidRPr="00C90317">
        <w:rPr>
          <w:lang w:val="pl-PL"/>
        </w:rPr>
        <w:t>,</w:t>
      </w:r>
      <w:r w:rsidR="00C90317">
        <w:rPr>
          <w:lang w:val="pl-PL"/>
        </w:rPr>
        <w:t xml:space="preserve"> </w:t>
      </w:r>
      <w:r w:rsidRPr="00C90317">
        <w:rPr>
          <w:lang w:val="pl-PL"/>
        </w:rPr>
        <w:t>105/10</w:t>
      </w:r>
      <w:r w:rsidR="00C90317">
        <w:rPr>
          <w:lang w:val="pl-PL"/>
        </w:rPr>
        <w:t>.</w:t>
      </w:r>
      <w:r w:rsidRPr="00C90317">
        <w:rPr>
          <w:lang w:val="pl-PL"/>
        </w:rPr>
        <w:t>, 90/11</w:t>
      </w:r>
      <w:r w:rsidR="00C90317">
        <w:rPr>
          <w:lang w:val="pl-PL"/>
        </w:rPr>
        <w:t>.</w:t>
      </w:r>
      <w:r w:rsidRPr="00C90317">
        <w:rPr>
          <w:lang w:val="pl-PL"/>
        </w:rPr>
        <w:t>, 16/12</w:t>
      </w:r>
      <w:r w:rsidR="00C90317">
        <w:rPr>
          <w:lang w:val="pl-PL"/>
        </w:rPr>
        <w:t>.</w:t>
      </w:r>
      <w:r w:rsidRPr="00C90317">
        <w:rPr>
          <w:lang w:val="pl-PL"/>
        </w:rPr>
        <w:t>, 86/12</w:t>
      </w:r>
      <w:r w:rsidR="00C90317">
        <w:rPr>
          <w:lang w:val="pl-PL"/>
        </w:rPr>
        <w:t>.</w:t>
      </w:r>
      <w:r w:rsidRPr="00C90317">
        <w:rPr>
          <w:lang w:val="pl-PL"/>
        </w:rPr>
        <w:t>, 94/13</w:t>
      </w:r>
      <w:r w:rsidR="00C90317">
        <w:rPr>
          <w:lang w:val="pl-PL"/>
        </w:rPr>
        <w:t>.</w:t>
      </w:r>
      <w:r w:rsidRPr="00C90317">
        <w:rPr>
          <w:lang w:val="pl-PL"/>
        </w:rPr>
        <w:t xml:space="preserve">, </w:t>
      </w:r>
      <w:r w:rsidR="00DF3530" w:rsidRPr="00C90317">
        <w:rPr>
          <w:lang w:val="pl-PL"/>
        </w:rPr>
        <w:t>136/14</w:t>
      </w:r>
      <w:r w:rsidR="00C90317">
        <w:rPr>
          <w:lang w:val="pl-PL"/>
        </w:rPr>
        <w:t>.</w:t>
      </w:r>
      <w:r w:rsidR="00DF3530" w:rsidRPr="00C90317">
        <w:rPr>
          <w:lang w:val="pl-PL"/>
        </w:rPr>
        <w:t xml:space="preserve">-RUSRH, </w:t>
      </w:r>
      <w:r w:rsidRPr="00C90317">
        <w:rPr>
          <w:lang w:val="pl-PL"/>
        </w:rPr>
        <w:t>152/14</w:t>
      </w:r>
      <w:r w:rsidR="00C90317">
        <w:rPr>
          <w:lang w:val="pl-PL"/>
        </w:rPr>
        <w:t>.</w:t>
      </w:r>
      <w:r w:rsidRPr="00C90317">
        <w:rPr>
          <w:lang w:val="pl-PL"/>
        </w:rPr>
        <w:t xml:space="preserve">, </w:t>
      </w:r>
      <w:r w:rsidRPr="00C90317">
        <w:t>7/17</w:t>
      </w:r>
      <w:r w:rsidR="00C90317">
        <w:t>.</w:t>
      </w:r>
      <w:r w:rsidR="008328A3" w:rsidRPr="00C90317">
        <w:t>, 68/18</w:t>
      </w:r>
      <w:r w:rsidR="00C90317">
        <w:t>. i</w:t>
      </w:r>
      <w:r w:rsidR="00F26DCB" w:rsidRPr="00C90317">
        <w:t xml:space="preserve"> 98/19</w:t>
      </w:r>
      <w:r w:rsidR="00C90317">
        <w:t>.</w:t>
      </w:r>
      <w:r w:rsidRPr="00C90317">
        <w:rPr>
          <w:lang w:val="pl-PL"/>
        </w:rPr>
        <w:t xml:space="preserve">) </w:t>
      </w:r>
      <w:r w:rsidRPr="00C90317">
        <w:t>te članka</w:t>
      </w:r>
      <w:r w:rsidR="008D0EBA">
        <w:t xml:space="preserve"> 58.</w:t>
      </w:r>
      <w:r w:rsidRPr="003A6BB1">
        <w:t xml:space="preserve">Statuta </w:t>
      </w:r>
      <w:r w:rsidR="008D0EBA" w:rsidRPr="00A46091">
        <w:rPr>
          <w:i/>
          <w:lang w:val="pl-PL"/>
        </w:rPr>
        <w:t xml:space="preserve">Osnovne škole Eugena Kvaternika, VelikaGorica  </w:t>
      </w:r>
      <w:r w:rsidR="003F452E" w:rsidRPr="00A46091">
        <w:t xml:space="preserve">Školski odbor </w:t>
      </w:r>
      <w:r w:rsidR="008D0EBA" w:rsidRPr="00A46091">
        <w:rPr>
          <w:i/>
          <w:lang w:val="pl-PL"/>
        </w:rPr>
        <w:t>Osnovne škole</w:t>
      </w:r>
      <w:r w:rsidR="00A46091">
        <w:rPr>
          <w:i/>
          <w:lang w:val="pl-PL"/>
        </w:rPr>
        <w:t xml:space="preserve"> </w:t>
      </w:r>
      <w:r w:rsidR="008D0EBA" w:rsidRPr="00A46091">
        <w:rPr>
          <w:i/>
          <w:lang w:val="pl-PL"/>
        </w:rPr>
        <w:t>EugenaKvaternika</w:t>
      </w:r>
      <w:r w:rsidR="003F452E" w:rsidRPr="00A46091">
        <w:t xml:space="preserve"> </w:t>
      </w:r>
      <w:r w:rsidRPr="00A46091">
        <w:t>na sjednici održanoj</w:t>
      </w:r>
      <w:r w:rsidR="003A6BB1" w:rsidRPr="00A46091">
        <w:t xml:space="preserve"> </w:t>
      </w:r>
      <w:r w:rsidR="00C71767">
        <w:t xml:space="preserve">23. siječnja 2020. </w:t>
      </w:r>
      <w:r w:rsidR="00F42D47" w:rsidRPr="00A46091">
        <w:t>d</w:t>
      </w:r>
      <w:r w:rsidRPr="00A46091">
        <w:t>onio je</w:t>
      </w: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C71767" w:rsidRDefault="00C71767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8D0EBA" w:rsidRPr="00A46091">
        <w:rPr>
          <w:rFonts w:ascii="Arial" w:hAnsi="Arial" w:cs="Arial"/>
          <w:i/>
          <w:sz w:val="24"/>
          <w:szCs w:val="24"/>
          <w:lang w:val="pl-PL"/>
        </w:rPr>
        <w:t xml:space="preserve">Osnovnoj Školi EugenaKvaternika, Velika Gorica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C71767" w:rsidRDefault="00C71767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C71767" w:rsidRDefault="00C71767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r w:rsidR="001C1201" w:rsidRPr="003A6BB1">
        <w:rPr>
          <w:rFonts w:ascii="Arial" w:hAnsi="Arial" w:cs="Arial"/>
          <w:color w:val="231F20"/>
        </w:rPr>
        <w:lastRenderedPageBreak/>
        <w:t>posvojitelj odnosno posvojenik te druge fizičke i pravne osobe koje se prema drugim 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C71767" w:rsidRPr="001E2EF9" w:rsidRDefault="00C7176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8D0EBA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</w:t>
      </w:r>
      <w:r w:rsidR="008D0EBA">
        <w:rPr>
          <w:rFonts w:ascii="Arial" w:hAnsi="Arial" w:cs="Arial"/>
          <w:lang w:val="pl-PL"/>
        </w:rPr>
        <w:t xml:space="preserve">om Pravilnika na </w:t>
      </w:r>
      <w:r w:rsidR="00623202" w:rsidRPr="008D0EBA">
        <w:rPr>
          <w:rFonts w:ascii="Arial" w:hAnsi="Arial" w:cs="Arial"/>
          <w:i/>
          <w:lang w:val="pl-PL"/>
        </w:rPr>
        <w:t xml:space="preserve">oglasnim pločama </w:t>
      </w:r>
      <w:r w:rsidR="00D52347" w:rsidRPr="008D0EBA">
        <w:rPr>
          <w:rFonts w:ascii="Arial" w:hAnsi="Arial" w:cs="Arial"/>
          <w:lang w:val="pl-PL"/>
        </w:rPr>
        <w:t>te mrežnoj stranici</w:t>
      </w:r>
      <w:r w:rsidR="00D52347" w:rsidRPr="008D0EBA">
        <w:rPr>
          <w:rFonts w:ascii="Arial" w:hAnsi="Arial" w:cs="Arial"/>
          <w:i/>
          <w:lang w:val="pl-PL"/>
        </w:rPr>
        <w:t xml:space="preserve"> </w:t>
      </w:r>
      <w:r w:rsidR="00623202" w:rsidRPr="008D0EBA">
        <w:rPr>
          <w:rFonts w:ascii="Arial" w:hAnsi="Arial" w:cs="Arial"/>
          <w:lang w:val="pl-PL"/>
        </w:rPr>
        <w:t>školske ustanove</w:t>
      </w:r>
      <w:r w:rsidR="00623202" w:rsidRPr="008D0EBA">
        <w:rPr>
          <w:rFonts w:ascii="Arial" w:hAnsi="Arial" w:cs="Arial"/>
          <w:i/>
          <w:lang w:val="pl-PL"/>
        </w:rPr>
        <w:t>.</w:t>
      </w:r>
    </w:p>
    <w:p w:rsidR="00B9567B" w:rsidRPr="008D0EBA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C71767">
      <w:pPr>
        <w:pStyle w:val="Tijelotek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C71767" w:rsidRPr="001E2EF9" w:rsidRDefault="00C7176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C71767" w:rsidRPr="001E2EF9" w:rsidRDefault="00C7176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lastRenderedPageBreak/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C71767" w:rsidRDefault="00C7176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C71767" w:rsidRDefault="00C7176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C71767" w:rsidRPr="003A6BB1" w:rsidRDefault="00C7176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C71767" w:rsidRPr="001E2EF9" w:rsidRDefault="00C7176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C71767">
      <w:pPr>
        <w:pStyle w:val="Tijelotek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C71767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pl-PL"/>
        </w:rPr>
      </w:pPr>
    </w:p>
    <w:p w:rsidR="00D45340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C71767" w:rsidRPr="001E2EF9" w:rsidRDefault="00C7176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C71767" w:rsidRPr="0065424B" w:rsidRDefault="00C71767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C71767" w:rsidRPr="00C71767" w:rsidRDefault="00FC4847" w:rsidP="00C717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, osim ako okolnosti upućuju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lastRenderedPageBreak/>
        <w:t>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C71767" w:rsidRPr="003A6BB1" w:rsidRDefault="00C71767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C71767" w:rsidRPr="0065424B" w:rsidRDefault="00C71767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povjeljive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C71767">
      <w:pPr>
        <w:pStyle w:val="Tijelotek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C71767" w:rsidRPr="0065424B" w:rsidRDefault="00C71767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C71767" w:rsidRPr="0065424B" w:rsidRDefault="00C71767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C71767" w:rsidRDefault="00C71767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C71767" w:rsidRDefault="00C71767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C71767" w:rsidRDefault="00C71767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C71767" w:rsidRDefault="00C71767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C71767" w:rsidRPr="003A6BB1" w:rsidRDefault="00C71767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C71767" w:rsidRPr="00406DCE" w:rsidRDefault="00C71767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C71767" w:rsidRPr="00406DCE" w:rsidRDefault="00C71767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C71767" w:rsidRPr="00406DCE" w:rsidRDefault="00C71767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C71767" w:rsidRPr="00406DCE" w:rsidRDefault="00C71767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C71767" w:rsidRPr="00406DCE" w:rsidRDefault="00C71767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C71767" w:rsidRPr="00406DCE" w:rsidRDefault="00C71767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71767" w:rsidRDefault="00C71767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</w:p>
    <w:p w:rsidR="00C71767" w:rsidRDefault="00C71767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406DCE">
        <w:rPr>
          <w:rFonts w:ascii="Arial" w:hAnsi="Arial" w:cs="Arial"/>
          <w:sz w:val="24"/>
          <w:szCs w:val="24"/>
        </w:rPr>
        <w:t>KLASA:</w:t>
      </w:r>
      <w:r w:rsidR="00C71767">
        <w:rPr>
          <w:rFonts w:ascii="Arial" w:hAnsi="Arial" w:cs="Arial"/>
          <w:sz w:val="24"/>
          <w:szCs w:val="24"/>
        </w:rPr>
        <w:t>003-05/20-01-1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C71767">
        <w:rPr>
          <w:rFonts w:ascii="Arial" w:hAnsi="Arial" w:cs="Arial"/>
          <w:sz w:val="24"/>
          <w:szCs w:val="24"/>
        </w:rPr>
        <w:t>238/31-17-01/2-20-2</w:t>
      </w:r>
    </w:p>
    <w:p w:rsidR="00F9110D" w:rsidRPr="00C71767" w:rsidRDefault="00C71767" w:rsidP="00C71767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Velika Gorica, 23. siječnja 2020.</w:t>
      </w: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="00C71767">
        <w:rPr>
          <w:rFonts w:ascii="Arial" w:hAnsi="Arial" w:cs="Arial"/>
          <w:noProof/>
          <w:snapToGrid w:val="0"/>
          <w:sz w:val="24"/>
          <w:szCs w:val="24"/>
        </w:rPr>
        <w:t>Predsjednica</w:t>
      </w:r>
      <w:r w:rsidRPr="00406DCE">
        <w:rPr>
          <w:rFonts w:ascii="Arial" w:hAnsi="Arial" w:cs="Arial"/>
          <w:noProof/>
          <w:snapToGrid w:val="0"/>
          <w:sz w:val="24"/>
          <w:szCs w:val="24"/>
        </w:rPr>
        <w:t xml:space="preserve"> Školskog odbora:</w:t>
      </w:r>
    </w:p>
    <w:p w:rsidR="0065424B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C71767" w:rsidRDefault="00C71767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>
        <w:rPr>
          <w:rFonts w:ascii="Arial" w:hAnsi="Arial" w:cs="Arial"/>
          <w:noProof/>
          <w:snapToGrid w:val="0"/>
          <w:sz w:val="24"/>
          <w:szCs w:val="24"/>
        </w:rPr>
        <w:t xml:space="preserve">                                                                                        </w:t>
      </w:r>
      <w:r w:rsidRPr="00C71767">
        <w:rPr>
          <w:rFonts w:ascii="Arial" w:hAnsi="Arial" w:cs="Arial"/>
          <w:noProof/>
          <w:snapToGrid w:val="0"/>
          <w:sz w:val="24"/>
          <w:szCs w:val="24"/>
        </w:rPr>
        <w:t>Marina Mužek</w:t>
      </w:r>
    </w:p>
    <w:p w:rsidR="00C71767" w:rsidRDefault="00C71767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</w:p>
    <w:p w:rsidR="00C71767" w:rsidRPr="00C71767" w:rsidRDefault="00C71767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</w:p>
    <w:p w:rsidR="00C71767" w:rsidRDefault="00C71767" w:rsidP="00C71767">
      <w:pPr>
        <w:ind w:firstLine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71767" w:rsidRDefault="00C71767" w:rsidP="00C71767">
      <w:pPr>
        <w:ind w:firstLine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0511CF" w:rsidRPr="00406DCE" w:rsidRDefault="000511CF" w:rsidP="00C71767">
      <w:pPr>
        <w:ind w:firstLine="720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>Ova</w:t>
      </w:r>
      <w:r w:rsidR="00C71767">
        <w:rPr>
          <w:rFonts w:ascii="Arial" w:hAnsi="Arial" w:cs="Arial"/>
          <w:sz w:val="24"/>
          <w:szCs w:val="24"/>
        </w:rPr>
        <w:t xml:space="preserve">j Pravilnik donesen je 23. siječnja 2020. </w:t>
      </w:r>
      <w:r w:rsidRPr="00406DCE">
        <w:rPr>
          <w:rFonts w:ascii="Arial" w:hAnsi="Arial" w:cs="Arial"/>
          <w:sz w:val="24"/>
          <w:szCs w:val="24"/>
        </w:rPr>
        <w:t xml:space="preserve">godine, objavljen je </w:t>
      </w:r>
      <w:r w:rsidR="00C71767">
        <w:rPr>
          <w:rFonts w:ascii="Arial" w:hAnsi="Arial" w:cs="Arial"/>
          <w:sz w:val="24"/>
          <w:szCs w:val="24"/>
        </w:rPr>
        <w:t xml:space="preserve">na oglasnoj ploči Škole 24. siječnja 2020. </w:t>
      </w:r>
      <w:r w:rsidRPr="00406DCE">
        <w:rPr>
          <w:rFonts w:ascii="Arial" w:hAnsi="Arial" w:cs="Arial"/>
          <w:sz w:val="24"/>
          <w:szCs w:val="24"/>
        </w:rPr>
        <w:t xml:space="preserve"> 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406DCE" w:rsidRDefault="00C71767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 škole:</w:t>
      </w:r>
    </w:p>
    <w:p w:rsidR="00B90183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C71767" w:rsidRPr="00C71767" w:rsidRDefault="00C71767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</w:rPr>
      </w:pPr>
      <w:r>
        <w:rPr>
          <w:rFonts w:ascii="Arial" w:hAnsi="Arial" w:cs="Arial"/>
          <w:noProof/>
          <w:snapToGrid w:val="0"/>
          <w:sz w:val="24"/>
          <w:szCs w:val="24"/>
        </w:rPr>
        <w:t xml:space="preserve">                                                                                  Monika Brleković, prof.</w:t>
      </w:r>
    </w:p>
    <w:sectPr w:rsidR="00C71767" w:rsidRPr="00C71767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B0" w:rsidRDefault="00E54AB0" w:rsidP="007A6A9A">
      <w:pPr>
        <w:spacing w:after="0" w:line="240" w:lineRule="auto"/>
      </w:pPr>
      <w:r>
        <w:separator/>
      </w:r>
    </w:p>
  </w:endnote>
  <w:endnote w:type="continuationSeparator" w:id="0">
    <w:p w:rsidR="00E54AB0" w:rsidRDefault="00E54AB0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7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B0" w:rsidRDefault="00E54AB0" w:rsidP="007A6A9A">
      <w:pPr>
        <w:spacing w:after="0" w:line="240" w:lineRule="auto"/>
      </w:pPr>
      <w:r>
        <w:separator/>
      </w:r>
    </w:p>
  </w:footnote>
  <w:footnote w:type="continuationSeparator" w:id="0">
    <w:p w:rsidR="00E54AB0" w:rsidRDefault="00E54AB0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44CBB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D0EBA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46091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1918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1767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54AB0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256C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84C9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  <w:style w:type="paragraph" w:styleId="Bezproreda">
    <w:name w:val="No Spacing"/>
    <w:uiPriority w:val="1"/>
    <w:qFormat/>
    <w:rsid w:val="00A46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3B2B-3294-4287-8901-F7E05814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1909</Words>
  <Characters>10887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29</cp:revision>
  <dcterms:created xsi:type="dcterms:W3CDTF">2019-11-10T20:09:00Z</dcterms:created>
  <dcterms:modified xsi:type="dcterms:W3CDTF">2020-01-31T08:17:00Z</dcterms:modified>
</cp:coreProperties>
</file>